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0" w:rsidRPr="00FD7B40" w:rsidRDefault="00FD7B40" w:rsidP="00FD7B40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sz w:val="30"/>
          <w:szCs w:val="30"/>
          <w:u w:val="single"/>
          <w:lang w:eastAsia="ru-RU"/>
        </w:rPr>
      </w:pPr>
      <w:r w:rsidRPr="00FD7B40">
        <w:rPr>
          <w:rFonts w:ascii="PF_Din_Text_Comp_Pro_Regular" w:eastAsia="Times New Roman" w:hAnsi="PF_Din_Text_Comp_Pro_Regular" w:cs="Arial"/>
          <w:sz w:val="30"/>
          <w:szCs w:val="30"/>
          <w:u w:val="single"/>
          <w:lang w:eastAsia="ru-RU"/>
        </w:rPr>
        <w:fldChar w:fldCharType="begin"/>
      </w:r>
      <w:r w:rsidRPr="00FD7B40">
        <w:rPr>
          <w:rFonts w:ascii="PF_Din_Text_Comp_Pro_Regular" w:eastAsia="Times New Roman" w:hAnsi="PF_Din_Text_Comp_Pro_Regular" w:cs="Arial"/>
          <w:sz w:val="30"/>
          <w:szCs w:val="30"/>
          <w:u w:val="single"/>
          <w:lang w:eastAsia="ru-RU"/>
        </w:rPr>
        <w:instrText xml:space="preserve"> HYPERLINK "https://www.reformagkh.ru/myhouse/profile/finance/6705091/" </w:instrText>
      </w:r>
      <w:r w:rsidRPr="00FD7B40">
        <w:rPr>
          <w:rFonts w:ascii="PF_Din_Text_Comp_Pro_Regular" w:eastAsia="Times New Roman" w:hAnsi="PF_Din_Text_Comp_Pro_Regular" w:cs="Arial"/>
          <w:sz w:val="30"/>
          <w:szCs w:val="30"/>
          <w:u w:val="single"/>
          <w:lang w:eastAsia="ru-RU"/>
        </w:rPr>
        <w:fldChar w:fldCharType="separate"/>
      </w:r>
      <w:r w:rsidRPr="00FD7B40">
        <w:rPr>
          <w:rFonts w:ascii="PF_Din_Text_Comp_Pro_Regular" w:eastAsia="Times New Roman" w:hAnsi="PF_Din_Text_Comp_Pro_Regular" w:cs="Arial"/>
          <w:sz w:val="30"/>
          <w:szCs w:val="30"/>
          <w:u w:val="single"/>
          <w:shd w:val="clear" w:color="auto" w:fill="278BD3"/>
          <w:lang w:eastAsia="ru-RU"/>
        </w:rPr>
        <w:t>Отчеты по управлению</w:t>
      </w:r>
      <w:r w:rsidRPr="00FD7B40">
        <w:rPr>
          <w:rFonts w:ascii="PF_Din_Text_Comp_Pro_Regular" w:eastAsia="Times New Roman" w:hAnsi="PF_Din_Text_Comp_Pro_Regular" w:cs="Arial"/>
          <w:sz w:val="30"/>
          <w:szCs w:val="30"/>
          <w:u w:val="single"/>
          <w:lang w:eastAsia="ru-RU"/>
        </w:rPr>
        <w:fldChar w:fldCharType="end"/>
      </w:r>
    </w:p>
    <w:p w:rsidR="00FC5715" w:rsidRDefault="00FD7B40" w:rsidP="00FD7B40">
      <w:pPr>
        <w:jc w:val="center"/>
        <w:rPr>
          <w:b/>
          <w:caps/>
          <w:color w:val="000000"/>
          <w:shd w:val="clear" w:color="auto" w:fill="FFFFFF"/>
        </w:rPr>
      </w:pPr>
      <w:r w:rsidRPr="00FD7B40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ОБЩАЯ ИНФОРМАЦИЯ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4"/>
        <w:gridCol w:w="5326"/>
      </w:tblGrid>
      <w:tr w:rsidR="00FD7B40" w:rsidRPr="00FD7B40" w:rsidTr="00FD7B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FD7B40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FD7B40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FD7B40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4"/>
              <w:gridCol w:w="2331"/>
            </w:tblGrid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Авансовые платежи потребителей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Переходящие остатки денежных средств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1537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29"/>
                    <w:gridCol w:w="1346"/>
                  </w:tblGrid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Начислено за услуги (работы) по содержанию и текущему ремонту, в том числе: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6 721.00</w:t>
                        </w:r>
                      </w:p>
                    </w:tc>
                  </w:tr>
                </w:tbl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67"/>
                    <w:gridCol w:w="3608"/>
                  </w:tblGrid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содержание дома,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4 616.00</w:t>
                        </w: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текущий ремонт,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100.00</w:t>
                        </w: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услуги управления,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2 005.00</w:t>
                        </w:r>
                      </w:p>
                    </w:tc>
                  </w:tr>
                </w:tbl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1537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87"/>
                    <w:gridCol w:w="2388"/>
                  </w:tblGrid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Получено денежных средств, в том числе: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2 103.00</w:t>
                        </w:r>
                      </w:p>
                    </w:tc>
                  </w:tr>
                </w:tbl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08"/>
                    <w:gridCol w:w="1667"/>
                  </w:tblGrid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денежных средств от собственников/нанимателей помещений,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2 103.00</w:t>
                        </w: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целевых взносов от собственников/нанимателей помещений,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субсидий,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денежных средств от использования общего имущества,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прочие поступления,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B40" w:rsidRPr="00FD7B4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D7B40" w:rsidRPr="00FD7B40" w:rsidRDefault="00FD7B40" w:rsidP="00FD7B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D7B40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</w:tbl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Всего денежных средств с учетом остатков,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2 103.00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Авансовые платежи потребителей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Переходящие остатки денежных средств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4 618.00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7B40" w:rsidRDefault="00FD7B40" w:rsidP="00FD7B40">
      <w:pPr>
        <w:jc w:val="center"/>
        <w:rPr>
          <w:b/>
          <w:sz w:val="20"/>
          <w:szCs w:val="20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FD7B40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0"/>
        <w:gridCol w:w="1490"/>
        <w:gridCol w:w="1381"/>
        <w:gridCol w:w="1599"/>
      </w:tblGrid>
      <w:tr w:rsidR="00FD7B40" w:rsidRPr="00FD7B40" w:rsidTr="00FD7B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FD7B40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FD7B40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FD7B40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11352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677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твердых бытовых отходо</w:t>
            </w:r>
            <w:proofErr w:type="gramStart"/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2 040.00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FD7B40" w:rsidRPr="00FD7B40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твердых бытовых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руб./чел. в мес.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2 005.80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2996"/>
              <w:gridCol w:w="1958"/>
              <w:gridCol w:w="3688"/>
            </w:tblGrid>
            <w:tr w:rsidR="00FD7B40" w:rsidRPr="00FD7B40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1 350.00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FD7B40" w:rsidRPr="00FD7B40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ЖБО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118.42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668.60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FD7B40" w:rsidRPr="00FD7B40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lastRenderedPageBreak/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1 561.18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FD7B40" w:rsidRPr="00FD7B40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Уборка придомовой территории и мест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</w:t>
                  </w:r>
                  <w:proofErr w:type="gramStart"/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1.33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FD7B40" w:rsidRPr="00FD7B40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по содержанию и ремонту конструктивных элементов (несущих конструкций и ненесущих конструкций)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996"/>
              <w:gridCol w:w="1958"/>
              <w:gridCol w:w="3688"/>
            </w:tblGrid>
            <w:tr w:rsidR="00FD7B40" w:rsidRPr="00FD7B40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Электромонтажные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FD7B40" w:rsidRP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электроснабжения МКД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7B40" w:rsidRDefault="00FD7B40" w:rsidP="00FD7B40">
      <w:pPr>
        <w:jc w:val="center"/>
        <w:rPr>
          <w:rFonts w:ascii="PF_Din_Text_Comp_Pro_Medium" w:hAnsi="PF_Din_Text_Comp_Pro_Medium"/>
          <w:caps/>
          <w:color w:val="000000"/>
          <w:shd w:val="clear" w:color="auto" w:fill="FFFFFF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caps/>
          <w:color w:val="000000"/>
          <w:shd w:val="clear" w:color="auto" w:fill="FFFFFF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FD7B40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ПРЕТЕНЗИИ ПО КАЧЕСТВУ РАБОТ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FD7B40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8" w:history="1"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7"/>
        <w:gridCol w:w="928"/>
      </w:tblGrid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FD7B40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КОММУНАЛЬНЫЕ УСЛУГИ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9" w:history="1"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085896"/>
          <w:sz w:val="17"/>
          <w:szCs w:val="17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1"/>
        <w:gridCol w:w="1354"/>
      </w:tblGrid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352.00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FD7B40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ОБЪЕМЫ ПО КОММУНАЛЬНЫМ УСЛУГАМ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3166"/>
        <w:gridCol w:w="2621"/>
        <w:gridCol w:w="4330"/>
        <w:gridCol w:w="1750"/>
      </w:tblGrid>
      <w:tr w:rsidR="00FD7B40" w:rsidRPr="00FD7B40" w:rsidTr="00FD7B4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FD7B40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FD7B40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FD7B40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FD7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FD7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Факт предоставления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Начислено потребителям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D7B40" w:rsidRPr="00FD7B40" w:rsidTr="00FD7B40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FD7B40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FD7B40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505.00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FD7B40" w:rsidRPr="00FD7B40" w:rsidTr="00FD7B40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5"/>
              <w:gridCol w:w="980"/>
            </w:tblGrid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Общий объем потребления, </w:t>
                  </w:r>
                  <w:proofErr w:type="spellStart"/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нат</w:t>
                  </w:r>
                  <w:proofErr w:type="spellEnd"/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. показ.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33.00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потребителями,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153.00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352.00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перед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505.00</w:t>
                  </w: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Размер пени и штрафов, уплаченных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B40" w:rsidRPr="00FD7B40" w:rsidTr="00FD7B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7B40" w:rsidRPr="00FD7B40" w:rsidRDefault="00FD7B40" w:rsidP="00FD7B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D7B40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7B40" w:rsidRDefault="00FD7B40" w:rsidP="00FD7B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bookmarkStart w:id="0" w:name="_GoBack"/>
      <w:bookmarkEnd w:id="0"/>
      <w:r w:rsidRPr="00FD7B40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ПРЕТЕНЗИОННО-ИСКОВАЯ РАБОТА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FD7B40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1" w:history="1"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FD7B40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FD7B40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FD7B40" w:rsidRPr="00FD7B40" w:rsidRDefault="00FD7B40" w:rsidP="00FD7B4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FD7B40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4"/>
        <w:gridCol w:w="791"/>
      </w:tblGrid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FD7B40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FD7B40" w:rsidRPr="00FD7B40" w:rsidTr="00FD7B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7B40" w:rsidRPr="00FD7B40" w:rsidRDefault="00FD7B40" w:rsidP="00FD7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D7B40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FD7B40" w:rsidRPr="00FD7B40" w:rsidRDefault="00FD7B40" w:rsidP="00FD7B40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FD7B40" w:rsidRPr="00FD7B40" w:rsidRDefault="00FD7B40" w:rsidP="00FD7B40">
      <w:pPr>
        <w:jc w:val="center"/>
        <w:rPr>
          <w:b/>
          <w:sz w:val="20"/>
          <w:szCs w:val="20"/>
          <w:u w:val="single"/>
        </w:rPr>
      </w:pPr>
    </w:p>
    <w:sectPr w:rsidR="00FD7B40" w:rsidRPr="00FD7B40" w:rsidSect="00FD7B4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6E5A"/>
    <w:multiLevelType w:val="multilevel"/>
    <w:tmpl w:val="772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C"/>
    <w:rsid w:val="00001A14"/>
    <w:rsid w:val="00065955"/>
    <w:rsid w:val="002C2CC8"/>
    <w:rsid w:val="002C4806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5062"/>
    <w:rsid w:val="00956A90"/>
    <w:rsid w:val="009775CA"/>
    <w:rsid w:val="00A106D7"/>
    <w:rsid w:val="00A22179"/>
    <w:rsid w:val="00AC7C4C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71F26"/>
    <w:rsid w:val="00E156C2"/>
    <w:rsid w:val="00E248FB"/>
    <w:rsid w:val="00E74FC4"/>
    <w:rsid w:val="00F71E2D"/>
    <w:rsid w:val="00FC5715"/>
    <w:rsid w:val="00FD4EFF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935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0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0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16193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8355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35687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0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34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7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71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12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89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29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6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profile/profile/89286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mymanager/profile/profile/89286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mymanager/profile/profile/8928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manager/profile/profile/8928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2016-03-30T03:58:00Z</dcterms:created>
  <dcterms:modified xsi:type="dcterms:W3CDTF">2016-03-30T04:06:00Z</dcterms:modified>
</cp:coreProperties>
</file>